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0C547E4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7631F0">
              <w:rPr>
                <w:rFonts w:ascii="Times New Roman" w:hAnsi="Times New Roman" w:cs="Times New Roman"/>
                <w:b/>
              </w:rPr>
              <w:t>201</w:t>
            </w:r>
            <w:r w:rsidR="00881CAE">
              <w:rPr>
                <w:rFonts w:ascii="Times New Roman" w:hAnsi="Times New Roman" w:cs="Times New Roman"/>
                <w:b/>
              </w:rPr>
              <w:t>5</w:t>
            </w:r>
            <w:r w:rsidR="00E577B7">
              <w:rPr>
                <w:rFonts w:ascii="Times New Roman" w:hAnsi="Times New Roman" w:cs="Times New Roman"/>
                <w:b/>
              </w:rPr>
              <w:t>5</w:t>
            </w:r>
            <w:r w:rsidR="00881CAE">
              <w:rPr>
                <w:rFonts w:ascii="Times New Roman" w:hAnsi="Times New Roman" w:cs="Times New Roman"/>
                <w:b/>
              </w:rPr>
              <w:t>3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="006E01A8">
              <w:rPr>
                <w:rFonts w:ascii="Times New Roman" w:hAnsi="Times New Roman" w:cs="Times New Roman"/>
                <w:bCs/>
              </w:rPr>
              <w:t xml:space="preserve">Správce </w:t>
            </w:r>
            <w:r w:rsidR="00304DF9">
              <w:rPr>
                <w:rFonts w:ascii="Times New Roman" w:hAnsi="Times New Roman" w:cs="Times New Roman"/>
                <w:bCs/>
              </w:rPr>
              <w:t>daně – registrace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714D46C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631F0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1466C273" w14:textId="51E3AE65" w:rsidR="0009753A" w:rsidRPr="007631F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</w:t>
            </w:r>
            <w:r w:rsidR="007631F0"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Sekci</w:t>
            </w:r>
            <w:r w:rsidR="007631F0"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Územní pracoviště pro Prahu 8</w:t>
            </w:r>
          </w:p>
          <w:p w14:paraId="453E6D39" w14:textId="4636B15D" w:rsidR="0009753A" w:rsidRPr="007631F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</w:t>
            </w:r>
            <w:r w:rsidR="007631F0"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Odboru</w:t>
            </w:r>
            <w:r w:rsidR="007631F0"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E577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správy registrů </w:t>
            </w: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6380D5E" w14:textId="00EBD764" w:rsidR="0009753A" w:rsidRPr="007631F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Oddělení </w:t>
            </w:r>
            <w:r w:rsidR="00E577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správy registrů</w:t>
            </w:r>
            <w:r w:rsidR="00D3009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I</w:t>
            </w:r>
          </w:p>
          <w:p w14:paraId="151CF8C9" w14:textId="199E74EA" w:rsidR="005C6307" w:rsidRPr="007631F0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631F0">
              <w:rPr>
                <w:rFonts w:ascii="Times New Roman" w:hAnsi="Times New Roman" w:cs="Times New Roman"/>
                <w:color w:val="000000" w:themeColor="text1"/>
              </w:rPr>
              <w:t xml:space="preserve">s místem výkonu služby </w:t>
            </w:r>
            <w:r w:rsidR="007631F0" w:rsidRPr="007631F0">
              <w:rPr>
                <w:rFonts w:ascii="Times New Roman" w:hAnsi="Times New Roman" w:cs="Times New Roman"/>
                <w:color w:val="000000" w:themeColor="text1"/>
              </w:rPr>
              <w:t>Praha</w:t>
            </w:r>
            <w:r w:rsidR="006E01A8">
              <w:rPr>
                <w:rFonts w:ascii="Times New Roman" w:hAnsi="Times New Roman" w:cs="Times New Roman"/>
                <w:color w:val="000000" w:themeColor="text1"/>
              </w:rPr>
              <w:t xml:space="preserve"> 8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CD04FDB" w14:textId="77777777" w:rsidR="007631F0" w:rsidRDefault="007631F0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596A4470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DEE389D" w14:textId="77777777" w:rsidR="006E01A8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1FCC9A01" w14:textId="77777777" w:rsidR="006E01A8" w:rsidRDefault="006E01A8" w:rsidP="006E01A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</w:p>
    <w:p w14:paraId="6D426F76" w14:textId="515AB488" w:rsidR="006E01A8" w:rsidRDefault="006E01A8" w:rsidP="006E01A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Cs/>
        </w:rPr>
        <w:t>Seznam listin, které přikládám k žádosti</w:t>
      </w:r>
      <w:r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137C996A" w14:textId="28BAE2D4" w:rsidR="00885D9E" w:rsidRDefault="00885D9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Pr="000A494D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CF23FE" w14:textId="77777777" w:rsidR="006E01A8" w:rsidRDefault="006E01A8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E30D75" w14:textId="77777777" w:rsidR="006E01A8" w:rsidRDefault="006E01A8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A8067F" w14:textId="77777777" w:rsidR="006E01A8" w:rsidRPr="00BB4584" w:rsidRDefault="006E01A8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6923" w14:textId="77777777" w:rsidR="007E4F63" w:rsidRDefault="007E4F63" w:rsidP="00386203">
      <w:pPr>
        <w:spacing w:after="0" w:line="240" w:lineRule="auto"/>
      </w:pPr>
      <w:r>
        <w:separator/>
      </w:r>
    </w:p>
  </w:endnote>
  <w:endnote w:type="continuationSeparator" w:id="0">
    <w:p w14:paraId="1F3A2339" w14:textId="77777777" w:rsidR="007E4F63" w:rsidRDefault="007E4F63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249CAB38" w14:textId="77777777" w:rsidR="006E01A8" w:rsidRDefault="006E01A8" w:rsidP="006E01A8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3EAC" w14:textId="77777777" w:rsidR="007E4F63" w:rsidRDefault="007E4F63" w:rsidP="00386203">
      <w:pPr>
        <w:spacing w:after="0" w:line="240" w:lineRule="auto"/>
      </w:pPr>
      <w:r>
        <w:separator/>
      </w:r>
    </w:p>
  </w:footnote>
  <w:footnote w:type="continuationSeparator" w:id="0">
    <w:p w14:paraId="427A97A4" w14:textId="77777777" w:rsidR="007E4F63" w:rsidRDefault="007E4F63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24F6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109F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57F28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4DF9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94CF5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87783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66A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01A8"/>
    <w:rsid w:val="006E67F5"/>
    <w:rsid w:val="006F0D0E"/>
    <w:rsid w:val="006F4693"/>
    <w:rsid w:val="0070185A"/>
    <w:rsid w:val="00702103"/>
    <w:rsid w:val="00702742"/>
    <w:rsid w:val="007032C4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31F0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4F63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27899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1CAE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67668"/>
    <w:rsid w:val="00A706B3"/>
    <w:rsid w:val="00A72C25"/>
    <w:rsid w:val="00A76C4E"/>
    <w:rsid w:val="00A80615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35958"/>
    <w:rsid w:val="00B43296"/>
    <w:rsid w:val="00B44E4F"/>
    <w:rsid w:val="00B4607E"/>
    <w:rsid w:val="00B50DD9"/>
    <w:rsid w:val="00B53BBE"/>
    <w:rsid w:val="00B71336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E6EE3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0093"/>
    <w:rsid w:val="00D33085"/>
    <w:rsid w:val="00D33C28"/>
    <w:rsid w:val="00D33E0D"/>
    <w:rsid w:val="00D609F6"/>
    <w:rsid w:val="00D61646"/>
    <w:rsid w:val="00D66AD9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577B7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15A4"/>
    <w:rsid w:val="00EC2305"/>
    <w:rsid w:val="00EC27EB"/>
    <w:rsid w:val="00EC4448"/>
    <w:rsid w:val="00EC545B"/>
    <w:rsid w:val="00EC71F7"/>
    <w:rsid w:val="00ED0B2D"/>
    <w:rsid w:val="00ED2898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B360E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C64CA-0B37-4ACE-9A3B-CABD152C1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707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6</cp:revision>
  <dcterms:created xsi:type="dcterms:W3CDTF">2026-07-02T12:49:00Z</dcterms:created>
  <dcterms:modified xsi:type="dcterms:W3CDTF">2026-07-08T05:15:00Z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